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FD59" w14:textId="77777777" w:rsidR="00BE3747" w:rsidRDefault="00BE3747" w:rsidP="00BE3747">
      <w:pPr>
        <w:jc w:val="center"/>
        <w:rPr>
          <w:b/>
          <w:sz w:val="28"/>
        </w:rPr>
      </w:pPr>
      <w:r>
        <w:rPr>
          <w:rFonts w:eastAsia="Times New Roman" w:cs="Times New Roman"/>
          <w:noProof/>
        </w:rPr>
        <w:drawing>
          <wp:anchor distT="0" distB="0" distL="114300" distR="114300" simplePos="0" relativeHeight="251661312" behindDoc="0" locked="0" layoutInCell="1" allowOverlap="1" wp14:anchorId="6F97B560" wp14:editId="2A1611DF">
            <wp:simplePos x="0" y="0"/>
            <wp:positionH relativeFrom="margin">
              <wp:align>left</wp:align>
            </wp:positionH>
            <wp:positionV relativeFrom="paragraph">
              <wp:posOffset>0</wp:posOffset>
            </wp:positionV>
            <wp:extent cx="3314700" cy="1430020"/>
            <wp:effectExtent l="0" t="0" r="0" b="0"/>
            <wp:wrapTight wrapText="bothSides">
              <wp:wrapPolygon edited="0">
                <wp:start x="5090" y="288"/>
                <wp:lineTo x="1986" y="5467"/>
                <wp:lineTo x="248" y="6618"/>
                <wp:lineTo x="869" y="10071"/>
                <wp:lineTo x="869" y="10647"/>
                <wp:lineTo x="1366" y="14675"/>
                <wp:lineTo x="1366" y="16401"/>
                <wp:lineTo x="3600" y="19279"/>
                <wp:lineTo x="5338" y="20718"/>
                <wp:lineTo x="6331" y="20718"/>
                <wp:lineTo x="17379" y="19279"/>
                <wp:lineTo x="21352" y="18128"/>
                <wp:lineTo x="21476" y="8632"/>
                <wp:lineTo x="9310" y="4892"/>
                <wp:lineTo x="7448" y="2302"/>
                <wp:lineTo x="5710" y="288"/>
                <wp:lineTo x="5090" y="288"/>
              </wp:wrapPolygon>
            </wp:wrapTight>
            <wp:docPr id="2" name="yui_3_16_0_1_1433127967481_21714" descr="https://gallery.mailchimp.com/69a6a535bf521058b37fff149/images/2e49c32d-7cd9-4704-a4d3-01933c6d39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3127967481_21714" descr="https://gallery.mailchimp.com/69a6a535bf521058b37fff149/images/2e49c32d-7cd9-4704-a4d3-01933c6d39c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893">
        <w:rPr>
          <w:b/>
          <w:sz w:val="28"/>
        </w:rPr>
        <w:tab/>
      </w:r>
      <w:r w:rsidR="00E64893">
        <w:rPr>
          <w:b/>
          <w:sz w:val="28"/>
        </w:rPr>
        <w:tab/>
      </w:r>
      <w:r w:rsidR="00E64893">
        <w:rPr>
          <w:b/>
          <w:sz w:val="28"/>
        </w:rPr>
        <w:tab/>
      </w:r>
      <w:r w:rsidR="00E64893">
        <w:rPr>
          <w:b/>
          <w:sz w:val="28"/>
        </w:rPr>
        <w:tab/>
      </w:r>
      <w:r w:rsidR="00E64893">
        <w:rPr>
          <w:b/>
          <w:sz w:val="28"/>
        </w:rPr>
        <w:tab/>
      </w:r>
      <w:r>
        <w:rPr>
          <w:b/>
          <w:sz w:val="28"/>
        </w:rPr>
        <w:t xml:space="preserve">Wood River </w:t>
      </w:r>
    </w:p>
    <w:p w14:paraId="67972442" w14:textId="77777777" w:rsidR="00BE3747" w:rsidRDefault="00E64893" w:rsidP="00BE3747">
      <w:pPr>
        <w:jc w:val="center"/>
        <w:rPr>
          <w:b/>
          <w:sz w:val="28"/>
        </w:rPr>
      </w:pPr>
      <w:r>
        <w:rPr>
          <w:b/>
          <w:sz w:val="28"/>
        </w:rPr>
        <w:tab/>
      </w:r>
      <w:r>
        <w:rPr>
          <w:b/>
          <w:sz w:val="28"/>
        </w:rPr>
        <w:tab/>
      </w:r>
      <w:r w:rsidR="00BE3747">
        <w:rPr>
          <w:b/>
          <w:sz w:val="28"/>
        </w:rPr>
        <w:t>Women's Foundation</w:t>
      </w:r>
    </w:p>
    <w:p w14:paraId="2C56EB84" w14:textId="57577A2F" w:rsidR="00BE3747" w:rsidRPr="00136690" w:rsidRDefault="00BE3747" w:rsidP="00BE3747">
      <w:pPr>
        <w:jc w:val="center"/>
        <w:rPr>
          <w:b/>
          <w:sz w:val="28"/>
        </w:rPr>
      </w:pPr>
      <w:r>
        <w:rPr>
          <w:b/>
          <w:sz w:val="28"/>
        </w:rPr>
        <w:t xml:space="preserve">Final </w:t>
      </w:r>
      <w:r w:rsidR="00CE065D">
        <w:rPr>
          <w:b/>
          <w:sz w:val="28"/>
        </w:rPr>
        <w:t xml:space="preserve">Grantee </w:t>
      </w:r>
      <w:r>
        <w:rPr>
          <w:b/>
          <w:sz w:val="28"/>
        </w:rPr>
        <w:t>Report</w:t>
      </w:r>
    </w:p>
    <w:p w14:paraId="1D96043E" w14:textId="68BE6651" w:rsidR="00BE3747" w:rsidRPr="00136690" w:rsidRDefault="00BE3747" w:rsidP="00BE3747">
      <w:pPr>
        <w:jc w:val="center"/>
        <w:rPr>
          <w:b/>
          <w:sz w:val="28"/>
        </w:rPr>
      </w:pPr>
      <w:r w:rsidRPr="00136690">
        <w:rPr>
          <w:b/>
          <w:sz w:val="28"/>
        </w:rPr>
        <w:t xml:space="preserve">Due: </w:t>
      </w:r>
      <w:r w:rsidR="00CE065D">
        <w:rPr>
          <w:b/>
          <w:sz w:val="28"/>
        </w:rPr>
        <w:t>As grant is completed or</w:t>
      </w:r>
      <w:r w:rsidRPr="00136690">
        <w:rPr>
          <w:b/>
          <w:sz w:val="28"/>
        </w:rPr>
        <w:t xml:space="preserve"> </w:t>
      </w:r>
      <w:r w:rsidR="00CE065D">
        <w:rPr>
          <w:b/>
          <w:sz w:val="28"/>
        </w:rPr>
        <w:t>by June 20</w:t>
      </w:r>
    </w:p>
    <w:p w14:paraId="1F2D7779" w14:textId="77777777" w:rsidR="00BE3747" w:rsidRDefault="00BE3747" w:rsidP="00BE3747"/>
    <w:p w14:paraId="2E4D123C" w14:textId="77777777" w:rsidR="00E64893" w:rsidRDefault="00E64893" w:rsidP="00BE3747"/>
    <w:p w14:paraId="5DC140E4" w14:textId="77777777" w:rsidR="00E64893" w:rsidRDefault="00E64893" w:rsidP="00BE3747"/>
    <w:p w14:paraId="59E35467" w14:textId="77777777" w:rsidR="00E64893" w:rsidRDefault="00E64893" w:rsidP="00BE3747"/>
    <w:p w14:paraId="0129CAA3" w14:textId="77777777" w:rsidR="00BE3747" w:rsidRDefault="00BE3747" w:rsidP="00BE3747">
      <w:pPr>
        <w:rPr>
          <w:b/>
        </w:rPr>
      </w:pPr>
      <w:r>
        <w:rPr>
          <w:b/>
        </w:rPr>
        <w:t xml:space="preserve">Organization: </w:t>
      </w:r>
      <w:r w:rsidRPr="00BE3747">
        <w:t>Sun Valley Summer Symphony</w:t>
      </w:r>
    </w:p>
    <w:p w14:paraId="3B4F932D" w14:textId="72DDA7ED" w:rsidR="00BE3747" w:rsidRDefault="00BE3747" w:rsidP="00BE3747">
      <w:r w:rsidRPr="00ED3F4D">
        <w:rPr>
          <w:b/>
        </w:rPr>
        <w:t>Project Title</w:t>
      </w:r>
      <w:r>
        <w:t>:</w:t>
      </w:r>
      <w:r>
        <w:tab/>
        <w:t xml:space="preserve">Instrument Bank Project Phase </w:t>
      </w:r>
      <w:r w:rsidR="00842E10">
        <w:t>2</w:t>
      </w:r>
      <w:r>
        <w:tab/>
      </w:r>
      <w:r>
        <w:tab/>
      </w:r>
      <w:r>
        <w:tab/>
      </w:r>
      <w:r>
        <w:tab/>
      </w:r>
      <w:r>
        <w:tab/>
      </w:r>
    </w:p>
    <w:p w14:paraId="76CDF585" w14:textId="4D477BCF" w:rsidR="00BE3747" w:rsidRDefault="00BE3747" w:rsidP="00BE3747">
      <w:r w:rsidRPr="00ED3F4D">
        <w:rPr>
          <w:b/>
        </w:rPr>
        <w:t>Grant Amount:</w:t>
      </w:r>
      <w:r>
        <w:rPr>
          <w:b/>
        </w:rPr>
        <w:t xml:space="preserve"> </w:t>
      </w:r>
      <w:r>
        <w:t>$</w:t>
      </w:r>
      <w:r w:rsidR="00CE065D">
        <w:t>19,840</w:t>
      </w:r>
    </w:p>
    <w:p w14:paraId="5650E241" w14:textId="77777777" w:rsidR="00BE3747" w:rsidRDefault="00BE3747" w:rsidP="00BE3747"/>
    <w:p w14:paraId="02FDF2E8" w14:textId="3DE3F24E" w:rsidR="00842E10" w:rsidRDefault="00BE3747" w:rsidP="00842E10">
      <w:r>
        <w:t xml:space="preserve">1)  </w:t>
      </w:r>
      <w:r w:rsidRPr="00ED3F4D">
        <w:rPr>
          <w:b/>
        </w:rPr>
        <w:t>Objectives &amp; Outcomes</w:t>
      </w:r>
      <w:r>
        <w:rPr>
          <w:b/>
        </w:rPr>
        <w:t xml:space="preserve"> (max. 200 words)</w:t>
      </w:r>
      <w:r w:rsidR="00BA332C">
        <w:t xml:space="preserve"> –</w:t>
      </w:r>
    </w:p>
    <w:p w14:paraId="5B17A80A" w14:textId="6CAF6225" w:rsidR="00BA30A7" w:rsidRDefault="00842E10" w:rsidP="00842E10">
      <w:r w:rsidRPr="00842E10">
        <w:t>The objective of the Instrument Bank Project Phase 2</w:t>
      </w:r>
      <w:r w:rsidR="007E61D1">
        <w:t xml:space="preserve"> </w:t>
      </w:r>
      <w:r w:rsidR="00187262">
        <w:t xml:space="preserve">was to allow </w:t>
      </w:r>
      <w:r w:rsidR="002211E8">
        <w:t>us to purchase more i</w:t>
      </w:r>
      <w:r w:rsidR="00F3320A">
        <w:t>nstruments</w:t>
      </w:r>
      <w:r w:rsidR="00187262">
        <w:t xml:space="preserve"> for students</w:t>
      </w:r>
      <w:r w:rsidR="00F3320A">
        <w:t xml:space="preserve"> and add a support staff person to manage the </w:t>
      </w:r>
      <w:r w:rsidR="00187262">
        <w:t>Elementary Strings P</w:t>
      </w:r>
      <w:r w:rsidR="00F3320A">
        <w:t>rogram</w:t>
      </w:r>
      <w:r w:rsidR="002211E8">
        <w:t xml:space="preserve">. </w:t>
      </w:r>
    </w:p>
    <w:p w14:paraId="6CD37393" w14:textId="5ED57560" w:rsidR="00842E10" w:rsidRDefault="00BA30A7" w:rsidP="00BA30A7">
      <w:pPr>
        <w:pStyle w:val="ListParagraph"/>
        <w:numPr>
          <w:ilvl w:val="0"/>
          <w:numId w:val="4"/>
        </w:numPr>
      </w:pPr>
      <w:r>
        <w:t>W</w:t>
      </w:r>
      <w:r w:rsidR="002211E8">
        <w:t xml:space="preserve">e currently own </w:t>
      </w:r>
      <w:r>
        <w:t xml:space="preserve">48 instruments and are in the process </w:t>
      </w:r>
      <w:r w:rsidR="00F3320A">
        <w:t>of negotiating with vendors to purchase</w:t>
      </w:r>
      <w:r>
        <w:t xml:space="preserve"> an additional 8-10</w:t>
      </w:r>
      <w:r w:rsidR="00F3320A">
        <w:t xml:space="preserve"> in the sizes we determined this year to be most in need.</w:t>
      </w:r>
      <w:r w:rsidR="00C506BA">
        <w:t xml:space="preserve"> We are confident we will now be able to offer an instrument to the majority of interested students which supports our goal of breaking down any stigma of students having a ‘loaner’ instrument versus being able to afford their “own” instrument.</w:t>
      </w:r>
    </w:p>
    <w:p w14:paraId="1321193F" w14:textId="725B39E7" w:rsidR="00C506BA" w:rsidRDefault="00C506BA" w:rsidP="00BA30A7">
      <w:pPr>
        <w:pStyle w:val="ListParagraph"/>
        <w:numPr>
          <w:ilvl w:val="0"/>
          <w:numId w:val="4"/>
        </w:numPr>
      </w:pPr>
      <w:r>
        <w:t xml:space="preserve">67 students registered for the program and approximately 42 completed the program, about a 2/3 retention rate which is </w:t>
      </w:r>
      <w:proofErr w:type="gramStart"/>
      <w:r>
        <w:t>similar to</w:t>
      </w:r>
      <w:proofErr w:type="gramEnd"/>
      <w:r>
        <w:t xml:space="preserve"> last year.</w:t>
      </w:r>
    </w:p>
    <w:p w14:paraId="13C5EF61" w14:textId="611897D8" w:rsidR="00F3320A" w:rsidRDefault="00F3320A" w:rsidP="00F3320A">
      <w:pPr>
        <w:pStyle w:val="ListParagraph"/>
        <w:numPr>
          <w:ilvl w:val="0"/>
          <w:numId w:val="4"/>
        </w:numPr>
      </w:pPr>
      <w:r>
        <w:t>The</w:t>
      </w:r>
      <w:r w:rsidR="00C506BA">
        <w:t xml:space="preserve"> </w:t>
      </w:r>
      <w:r>
        <w:t>demographic</w:t>
      </w:r>
      <w:r w:rsidR="00C506BA">
        <w:t xml:space="preserve"> mix of students</w:t>
      </w:r>
      <w:r>
        <w:t xml:space="preserve"> w</w:t>
      </w:r>
      <w:r w:rsidR="00C506BA">
        <w:t>as</w:t>
      </w:r>
      <w:r>
        <w:t xml:space="preserve"> roughly 45% Anglo</w:t>
      </w:r>
      <w:r w:rsidR="00C506BA">
        <w:t xml:space="preserve"> </w:t>
      </w:r>
      <w:r>
        <w:t>and 55% Hispanic, which a</w:t>
      </w:r>
      <w:r w:rsidR="00C506BA">
        <w:t>ligns with our goal of reaching students of all backgrounds.</w:t>
      </w:r>
    </w:p>
    <w:p w14:paraId="31E04094" w14:textId="6C8E8596" w:rsidR="006B31B0" w:rsidRPr="00842E10" w:rsidRDefault="00F3320A" w:rsidP="006B31B0">
      <w:pPr>
        <w:pStyle w:val="ListParagraph"/>
        <w:numPr>
          <w:ilvl w:val="0"/>
          <w:numId w:val="4"/>
        </w:numPr>
      </w:pPr>
      <w:r>
        <w:t>Due to the increased workload monitoring instruments and managing students, grant funds allowed us to hire an additional staff person.  Stephanie Guzman joins our staff as</w:t>
      </w:r>
      <w:r w:rsidR="006B31B0">
        <w:t xml:space="preserve"> </w:t>
      </w:r>
      <w:r>
        <w:t>Outreach and Developmental Programs Coordinator.</w:t>
      </w:r>
      <w:r w:rsidR="006B31B0">
        <w:t xml:space="preserve"> Stephanie is a graduate of the SVSS School of Music as a violin and viola player, so can also help with teaching responsibilities.</w:t>
      </w:r>
    </w:p>
    <w:p w14:paraId="07253812" w14:textId="77777777" w:rsidR="00E64893" w:rsidRDefault="00E64893" w:rsidP="00BE3747"/>
    <w:p w14:paraId="39E4C416" w14:textId="418E0E7C" w:rsidR="00C5500D" w:rsidRDefault="00BE3747" w:rsidP="00BE3747">
      <w:r>
        <w:t xml:space="preserve">2)  </w:t>
      </w:r>
      <w:r w:rsidRPr="00ED3F4D">
        <w:rPr>
          <w:b/>
        </w:rPr>
        <w:t>Impact</w:t>
      </w:r>
      <w:r>
        <w:rPr>
          <w:b/>
        </w:rPr>
        <w:t xml:space="preserve"> (max. 150 words) -</w:t>
      </w:r>
      <w:r>
        <w:t xml:space="preserve">  </w:t>
      </w:r>
    </w:p>
    <w:p w14:paraId="01CE893C" w14:textId="5D244C61" w:rsidR="002211E8" w:rsidRDefault="006B31B0" w:rsidP="00BE3747">
      <w:r>
        <w:t>On the final day of the program, students</w:t>
      </w:r>
      <w:r w:rsidR="00187262">
        <w:t xml:space="preserve"> </w:t>
      </w:r>
      <w:r>
        <w:t>share</w:t>
      </w:r>
      <w:r w:rsidR="00187262">
        <w:t>d</w:t>
      </w:r>
      <w:r>
        <w:t xml:space="preserve"> what they learned with parents in a</w:t>
      </w:r>
      <w:r w:rsidR="00187262">
        <w:t>n</w:t>
      </w:r>
      <w:r>
        <w:t xml:space="preserve"> informal performance.  Imagine 40 plus squirrely </w:t>
      </w:r>
      <w:r w:rsidR="00187262">
        <w:t>9-10-year-olds</w:t>
      </w:r>
      <w:r>
        <w:t xml:space="preserve"> all holding something that makes a lot of noise anxiously waiting to play!  Imagine the</w:t>
      </w:r>
      <w:r w:rsidR="007E71C1">
        <w:t xml:space="preserve"> </w:t>
      </w:r>
      <w:r>
        <w:t xml:space="preserve">surprise </w:t>
      </w:r>
      <w:r w:rsidR="007E71C1">
        <w:t xml:space="preserve">and delight </w:t>
      </w:r>
      <w:r>
        <w:t xml:space="preserve">on their parents’ faces, when what they played sounded really </w:t>
      </w:r>
      <w:proofErr w:type="gramStart"/>
      <w:r>
        <w:t>good</w:t>
      </w:r>
      <w:proofErr w:type="gramEnd"/>
      <w:r>
        <w:t xml:space="preserve">! </w:t>
      </w:r>
      <w:r w:rsidR="007E71C1">
        <w:t xml:space="preserve">Nearly 100 parents attended, and they were amazed at the progress their students made. </w:t>
      </w:r>
      <w:r w:rsidR="00187262">
        <w:t xml:space="preserve"> Our faculty commented that t</w:t>
      </w:r>
      <w:r>
        <w:t>his was a particularly wonderful group of students</w:t>
      </w:r>
      <w:r w:rsidR="00187262">
        <w:t>, attentive and eager to learn</w:t>
      </w:r>
      <w:r>
        <w:t>.  Due to lessons learned last year, we were able to better address the needs of such a large group.  Student mentors from the high school, our instructors Ms. Sanders (cello) and Mr. Kremer and Ms. Guzman (violin/viola)</w:t>
      </w:r>
      <w:r w:rsidR="00187262">
        <w:t xml:space="preserve"> expertly coordinated small and large group sessions that allowed students to go from just learning to hold the instrument to playing 8 short pieces of music for their parents. Several hope to continue playing and our Summer Strings program enrolled a record </w:t>
      </w:r>
      <w:proofErr w:type="gramStart"/>
      <w:r w:rsidR="00187262">
        <w:t>18 students</w:t>
      </w:r>
      <w:proofErr w:type="gramEnd"/>
      <w:r w:rsidR="00187262">
        <w:t xml:space="preserve">.  </w:t>
      </w:r>
    </w:p>
    <w:p w14:paraId="54931315" w14:textId="294FF169" w:rsidR="00DD1657" w:rsidRDefault="00DD1657" w:rsidP="00BE3747"/>
    <w:p w14:paraId="7AED0861" w14:textId="72677D20" w:rsidR="00DD1657" w:rsidRDefault="00DD1657" w:rsidP="00BE3747"/>
    <w:p w14:paraId="073839A0" w14:textId="1307727D" w:rsidR="00DD1657" w:rsidRDefault="00DD1657" w:rsidP="00BE3747"/>
    <w:p w14:paraId="1FBFE434" w14:textId="77777777" w:rsidR="00DD1657" w:rsidRDefault="00DD1657" w:rsidP="00BE3747"/>
    <w:p w14:paraId="4DDC3884" w14:textId="77777777" w:rsidR="00842E10" w:rsidRDefault="00842E10" w:rsidP="00BE3747"/>
    <w:p w14:paraId="0731A327" w14:textId="737A3C57" w:rsidR="00BA332C" w:rsidRPr="00CE065D" w:rsidRDefault="00BE3747" w:rsidP="00BA332C">
      <w:pPr>
        <w:rPr>
          <w:b/>
        </w:rPr>
      </w:pPr>
      <w:r>
        <w:lastRenderedPageBreak/>
        <w:t xml:space="preserve">3)  </w:t>
      </w:r>
      <w:r>
        <w:rPr>
          <w:b/>
        </w:rPr>
        <w:t>Photos (attache</w:t>
      </w:r>
      <w:r w:rsidR="00CE065D">
        <w:rPr>
          <w:b/>
        </w:rPr>
        <w:t>d)</w:t>
      </w:r>
    </w:p>
    <w:p w14:paraId="164CB682" w14:textId="590E2BE0" w:rsidR="00BA332C" w:rsidRDefault="00B03A8C" w:rsidP="00BE3747">
      <w:r>
        <w:t>1.  a view of just a portion of the instruments we have purchases in our storage room</w:t>
      </w:r>
    </w:p>
    <w:p w14:paraId="0FB61F32" w14:textId="78866AF6" w:rsidR="00B03A8C" w:rsidRDefault="00B03A8C" w:rsidP="00BE3747">
      <w:r>
        <w:t>2.  Elementary strings mentors</w:t>
      </w:r>
      <w:r w:rsidR="00DD1657">
        <w:t xml:space="preserve"> on their way to State Solo Competition.  Wood River High School students who spent many weeks working with Elementary Strings Students. this is the only time I could get them all together as a group as they all worked different days with the elementary strings to be sure we always had at adequate support for the faculty.</w:t>
      </w:r>
      <w:bookmarkStart w:id="0" w:name="_GoBack"/>
      <w:bookmarkEnd w:id="0"/>
    </w:p>
    <w:p w14:paraId="7462E3A6" w14:textId="2F7A1EA7" w:rsidR="00DD1657" w:rsidRDefault="00DD1657" w:rsidP="00BE3747">
      <w:r>
        <w:t>3. a view of parents listening to their students perform.</w:t>
      </w:r>
    </w:p>
    <w:p w14:paraId="4E806AD9" w14:textId="2F8FF701" w:rsidR="00DD1657" w:rsidRDefault="00DD1657" w:rsidP="00BE3747"/>
    <w:p w14:paraId="4103A89F" w14:textId="0D359F13" w:rsidR="00DD1657" w:rsidRDefault="00DD1657" w:rsidP="00BE3747">
      <w:r>
        <w:t>I sent a few additional photos to Susan Flynt who used them in her impact team report, if you need more, let me know!</w:t>
      </w:r>
    </w:p>
    <w:p w14:paraId="18025A91" w14:textId="77777777" w:rsidR="00BE3747" w:rsidRDefault="00BE3747" w:rsidP="00BE3747"/>
    <w:p w14:paraId="2D592F23" w14:textId="77777777" w:rsidR="00BE3747" w:rsidRPr="007821F7" w:rsidRDefault="00BE3747" w:rsidP="00BE3747">
      <w:pPr>
        <w:rPr>
          <w:b/>
        </w:rPr>
      </w:pPr>
      <w:r>
        <w:t xml:space="preserve">4)  </w:t>
      </w:r>
      <w:r>
        <w:rPr>
          <w:b/>
        </w:rPr>
        <w:t>Budget (one table) –</w:t>
      </w:r>
    </w:p>
    <w:tbl>
      <w:tblPr>
        <w:tblStyle w:val="TableGrid"/>
        <w:tblW w:w="0" w:type="auto"/>
        <w:tblLook w:val="04A0" w:firstRow="1" w:lastRow="0" w:firstColumn="1" w:lastColumn="0" w:noHBand="0" w:noVBand="1"/>
      </w:tblPr>
      <w:tblGrid>
        <w:gridCol w:w="2952"/>
        <w:gridCol w:w="2952"/>
        <w:gridCol w:w="3181"/>
      </w:tblGrid>
      <w:tr w:rsidR="00BE3747" w:rsidRPr="00ED3F4D" w14:paraId="700F8156" w14:textId="77777777" w:rsidTr="00BB2BFA">
        <w:tc>
          <w:tcPr>
            <w:tcW w:w="2952" w:type="dxa"/>
          </w:tcPr>
          <w:p w14:paraId="51722FF9" w14:textId="77777777" w:rsidR="00BE3747" w:rsidRPr="00ED3F4D" w:rsidRDefault="00BE3747" w:rsidP="00811983">
            <w:pPr>
              <w:jc w:val="center"/>
              <w:rPr>
                <w:b/>
              </w:rPr>
            </w:pPr>
            <w:r w:rsidRPr="00ED3F4D">
              <w:rPr>
                <w:b/>
              </w:rPr>
              <w:t>Expenses</w:t>
            </w:r>
          </w:p>
        </w:tc>
        <w:tc>
          <w:tcPr>
            <w:tcW w:w="2952" w:type="dxa"/>
          </w:tcPr>
          <w:p w14:paraId="24A750A1" w14:textId="77777777" w:rsidR="00BE3747" w:rsidRPr="00ED3F4D" w:rsidRDefault="00BE3747" w:rsidP="00811983">
            <w:pPr>
              <w:jc w:val="center"/>
              <w:rPr>
                <w:b/>
              </w:rPr>
            </w:pPr>
            <w:r w:rsidRPr="00ED3F4D">
              <w:rPr>
                <w:b/>
              </w:rPr>
              <w:t>Amount requested from WRWCF</w:t>
            </w:r>
          </w:p>
        </w:tc>
        <w:tc>
          <w:tcPr>
            <w:tcW w:w="3181" w:type="dxa"/>
          </w:tcPr>
          <w:p w14:paraId="41CCFCEA" w14:textId="77777777" w:rsidR="00BE3747" w:rsidRPr="00ED3F4D" w:rsidRDefault="00BE3747" w:rsidP="00811983">
            <w:pPr>
              <w:jc w:val="center"/>
              <w:rPr>
                <w:b/>
              </w:rPr>
            </w:pPr>
            <w:r w:rsidRPr="00ED3F4D">
              <w:rPr>
                <w:b/>
              </w:rPr>
              <w:t>Actual Expenditures</w:t>
            </w:r>
          </w:p>
        </w:tc>
      </w:tr>
      <w:tr w:rsidR="00BE3747" w14:paraId="71E84072" w14:textId="77777777" w:rsidTr="00BB2BFA">
        <w:tc>
          <w:tcPr>
            <w:tcW w:w="2952" w:type="dxa"/>
          </w:tcPr>
          <w:p w14:paraId="1DE1A267" w14:textId="77777777" w:rsidR="00BE3747" w:rsidRDefault="006E371C" w:rsidP="00811983">
            <w:r>
              <w:t>Instrument Purchase</w:t>
            </w:r>
          </w:p>
        </w:tc>
        <w:tc>
          <w:tcPr>
            <w:tcW w:w="2952" w:type="dxa"/>
          </w:tcPr>
          <w:p w14:paraId="741FFB18" w14:textId="0BB907D9" w:rsidR="00BE3747" w:rsidRDefault="006E371C" w:rsidP="00811983">
            <w:pPr>
              <w:jc w:val="right"/>
            </w:pPr>
            <w:r>
              <w:t>1</w:t>
            </w:r>
            <w:r w:rsidR="00CE065D">
              <w:t>5,000</w:t>
            </w:r>
          </w:p>
        </w:tc>
        <w:tc>
          <w:tcPr>
            <w:tcW w:w="3181" w:type="dxa"/>
          </w:tcPr>
          <w:p w14:paraId="09F0B1F9" w14:textId="7FD3FE0B" w:rsidR="00BE3747" w:rsidRDefault="007E61D1" w:rsidP="00811983">
            <w:pPr>
              <w:jc w:val="right"/>
            </w:pPr>
            <w:r>
              <w:t>15,000</w:t>
            </w:r>
            <w:r w:rsidR="00BA3915">
              <w:t xml:space="preserve"> </w:t>
            </w:r>
            <w:r w:rsidR="00CE09B8">
              <w:t>*</w:t>
            </w:r>
          </w:p>
        </w:tc>
      </w:tr>
      <w:tr w:rsidR="00BE3747" w14:paraId="3F45294B" w14:textId="77777777" w:rsidTr="00BB2BFA">
        <w:tc>
          <w:tcPr>
            <w:tcW w:w="2952" w:type="dxa"/>
          </w:tcPr>
          <w:p w14:paraId="75FD4EF2" w14:textId="3DB7F717" w:rsidR="00BE3747" w:rsidRPr="00BB2BFA" w:rsidRDefault="0078158B" w:rsidP="00811983">
            <w:pPr>
              <w:rPr>
                <w:sz w:val="20"/>
                <w:szCs w:val="20"/>
              </w:rPr>
            </w:pPr>
            <w:r w:rsidRPr="00BB2BFA">
              <w:rPr>
                <w:sz w:val="20"/>
                <w:szCs w:val="20"/>
              </w:rPr>
              <w:t>Teaching Materials/books</w:t>
            </w:r>
            <w:r w:rsidR="00BB2BFA" w:rsidRPr="00BB2BFA">
              <w:rPr>
                <w:sz w:val="20"/>
                <w:szCs w:val="20"/>
              </w:rPr>
              <w:t>/strings</w:t>
            </w:r>
          </w:p>
        </w:tc>
        <w:tc>
          <w:tcPr>
            <w:tcW w:w="2952" w:type="dxa"/>
          </w:tcPr>
          <w:p w14:paraId="11CA8BBC" w14:textId="458414FE" w:rsidR="007E61D1" w:rsidRDefault="007E61D1" w:rsidP="007E61D1">
            <w:pPr>
              <w:pStyle w:val="ListParagraph"/>
              <w:ind w:left="0"/>
              <w:jc w:val="right"/>
            </w:pPr>
            <w:r>
              <w:t>1000</w:t>
            </w:r>
          </w:p>
        </w:tc>
        <w:tc>
          <w:tcPr>
            <w:tcW w:w="3181" w:type="dxa"/>
          </w:tcPr>
          <w:p w14:paraId="7A795880" w14:textId="138F6FD6" w:rsidR="00BE3747" w:rsidRDefault="007E61D1" w:rsidP="007E61D1">
            <w:r>
              <w:t>Books: $465</w:t>
            </w:r>
          </w:p>
          <w:p w14:paraId="5C430E7B" w14:textId="2FB23ED4" w:rsidR="007E61D1" w:rsidRDefault="007E61D1" w:rsidP="007E61D1">
            <w:r>
              <w:t>Strings/Rosin: $ 425</w:t>
            </w:r>
          </w:p>
          <w:p w14:paraId="6421230E" w14:textId="05AEC5EE" w:rsidR="007E61D1" w:rsidRDefault="007E61D1" w:rsidP="007E61D1">
            <w:r>
              <w:t>Pencils, laminated cards: $50</w:t>
            </w:r>
          </w:p>
          <w:p w14:paraId="5A649474" w14:textId="7958C63D" w:rsidR="007E61D1" w:rsidRPr="007E61D1" w:rsidRDefault="007E61D1" w:rsidP="007E61D1">
            <w:pPr>
              <w:rPr>
                <w:b/>
              </w:rPr>
            </w:pPr>
            <w:r w:rsidRPr="007E61D1">
              <w:rPr>
                <w:b/>
              </w:rPr>
              <w:t xml:space="preserve">Total: </w:t>
            </w:r>
            <w:r>
              <w:rPr>
                <w:b/>
              </w:rPr>
              <w:t>$940</w:t>
            </w:r>
          </w:p>
          <w:p w14:paraId="225F5B7A" w14:textId="5829F258" w:rsidR="007E61D1" w:rsidRDefault="007E61D1" w:rsidP="007E61D1"/>
        </w:tc>
      </w:tr>
      <w:tr w:rsidR="00CE065D" w:rsidRPr="00ED3F4D" w14:paraId="589E791E" w14:textId="77777777" w:rsidTr="00BB2BFA">
        <w:tc>
          <w:tcPr>
            <w:tcW w:w="2952" w:type="dxa"/>
          </w:tcPr>
          <w:p w14:paraId="2B339922" w14:textId="2DDB5166" w:rsidR="00CE065D" w:rsidRPr="00CE065D" w:rsidRDefault="00CE065D" w:rsidP="00CE065D">
            <w:r w:rsidRPr="00CE065D">
              <w:t>Salary and Benefits</w:t>
            </w:r>
          </w:p>
        </w:tc>
        <w:tc>
          <w:tcPr>
            <w:tcW w:w="2952" w:type="dxa"/>
          </w:tcPr>
          <w:p w14:paraId="75868098" w14:textId="55811D1E" w:rsidR="00CE065D" w:rsidRPr="00CE065D" w:rsidRDefault="00CE065D" w:rsidP="00811983">
            <w:pPr>
              <w:jc w:val="right"/>
            </w:pPr>
            <w:r w:rsidRPr="00CE065D">
              <w:t>3,840</w:t>
            </w:r>
          </w:p>
        </w:tc>
        <w:tc>
          <w:tcPr>
            <w:tcW w:w="3181" w:type="dxa"/>
          </w:tcPr>
          <w:p w14:paraId="44003FDA" w14:textId="7B4CEA82" w:rsidR="00BB2BFA" w:rsidRPr="00CE065D" w:rsidRDefault="00BB2BFA" w:rsidP="00811983">
            <w:pPr>
              <w:jc w:val="right"/>
            </w:pPr>
            <w:r>
              <w:t>3,906</w:t>
            </w:r>
          </w:p>
        </w:tc>
      </w:tr>
      <w:tr w:rsidR="00BE3747" w:rsidRPr="00ED3F4D" w14:paraId="18767055" w14:textId="77777777" w:rsidTr="00BB2BFA">
        <w:tc>
          <w:tcPr>
            <w:tcW w:w="2952" w:type="dxa"/>
          </w:tcPr>
          <w:p w14:paraId="617122C9" w14:textId="77777777" w:rsidR="00BE3747" w:rsidRPr="00ED3F4D" w:rsidRDefault="00BE3747" w:rsidP="00811983">
            <w:pPr>
              <w:jc w:val="center"/>
              <w:rPr>
                <w:b/>
              </w:rPr>
            </w:pPr>
            <w:r w:rsidRPr="00ED3F4D">
              <w:rPr>
                <w:b/>
              </w:rPr>
              <w:t>TOTAL</w:t>
            </w:r>
          </w:p>
        </w:tc>
        <w:tc>
          <w:tcPr>
            <w:tcW w:w="2952" w:type="dxa"/>
          </w:tcPr>
          <w:p w14:paraId="4C50551B" w14:textId="13AB56CB" w:rsidR="006E371C" w:rsidRPr="00ED3F4D" w:rsidRDefault="00CE065D" w:rsidP="00811983">
            <w:pPr>
              <w:jc w:val="right"/>
              <w:rPr>
                <w:b/>
              </w:rPr>
            </w:pPr>
            <w:r>
              <w:rPr>
                <w:b/>
              </w:rPr>
              <w:t>19,840</w:t>
            </w:r>
          </w:p>
        </w:tc>
        <w:tc>
          <w:tcPr>
            <w:tcW w:w="3181" w:type="dxa"/>
          </w:tcPr>
          <w:p w14:paraId="40DDCFB7" w14:textId="3D539B1A" w:rsidR="00BE3747" w:rsidRPr="00ED3F4D" w:rsidRDefault="007E61D1" w:rsidP="00811983">
            <w:pPr>
              <w:jc w:val="right"/>
              <w:rPr>
                <w:b/>
              </w:rPr>
            </w:pPr>
            <w:r>
              <w:rPr>
                <w:b/>
              </w:rPr>
              <w:t>19,846</w:t>
            </w:r>
          </w:p>
        </w:tc>
      </w:tr>
    </w:tbl>
    <w:p w14:paraId="12C01FFC" w14:textId="75510DDF" w:rsidR="00BE3747" w:rsidRDefault="007821F7" w:rsidP="00BE3747">
      <w:r>
        <w:t>*</w:t>
      </w:r>
      <w:r w:rsidR="002211E8">
        <w:t>$10, 595 of instrument budget has been spent to date, an assessment of specific needs regarding instrument type and size was made at the end of the program in late May so we could fill gaps in what we have, additional instruments using the remaining funds are being ordered this month.</w:t>
      </w:r>
    </w:p>
    <w:sectPr w:rsidR="00BE3747" w:rsidSect="00413F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A2C"/>
    <w:multiLevelType w:val="hybridMultilevel"/>
    <w:tmpl w:val="0D1A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5BEE"/>
    <w:multiLevelType w:val="hybridMultilevel"/>
    <w:tmpl w:val="2B560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56550"/>
    <w:multiLevelType w:val="hybridMultilevel"/>
    <w:tmpl w:val="F6862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512F5"/>
    <w:multiLevelType w:val="hybridMultilevel"/>
    <w:tmpl w:val="C92C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47"/>
    <w:rsid w:val="00187262"/>
    <w:rsid w:val="002211E8"/>
    <w:rsid w:val="00413F3A"/>
    <w:rsid w:val="00582121"/>
    <w:rsid w:val="006B31B0"/>
    <w:rsid w:val="006D62DF"/>
    <w:rsid w:val="006E371C"/>
    <w:rsid w:val="0078158B"/>
    <w:rsid w:val="007821F7"/>
    <w:rsid w:val="007E61D1"/>
    <w:rsid w:val="007E71C1"/>
    <w:rsid w:val="00842E10"/>
    <w:rsid w:val="00854824"/>
    <w:rsid w:val="00AA350D"/>
    <w:rsid w:val="00AB3A9E"/>
    <w:rsid w:val="00B03A8C"/>
    <w:rsid w:val="00BA30A7"/>
    <w:rsid w:val="00BA332C"/>
    <w:rsid w:val="00BA3915"/>
    <w:rsid w:val="00BB2BFA"/>
    <w:rsid w:val="00BE3747"/>
    <w:rsid w:val="00C506BA"/>
    <w:rsid w:val="00C5500D"/>
    <w:rsid w:val="00CE065D"/>
    <w:rsid w:val="00CE09B8"/>
    <w:rsid w:val="00DD1657"/>
    <w:rsid w:val="00E64893"/>
    <w:rsid w:val="00E66463"/>
    <w:rsid w:val="00E71D1D"/>
    <w:rsid w:val="00F3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2125"/>
  <w15:chartTrackingRefBased/>
  <w15:docId w15:val="{F8910811-C3DA-4BD1-86E8-1E54A389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7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74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93"/>
    <w:rPr>
      <w:rFonts w:ascii="Segoe UI" w:eastAsiaTheme="minorEastAsia" w:hAnsi="Segoe UI" w:cs="Segoe UI"/>
      <w:sz w:val="18"/>
      <w:szCs w:val="18"/>
    </w:rPr>
  </w:style>
  <w:style w:type="paragraph" w:styleId="ListParagraph">
    <w:name w:val="List Paragraph"/>
    <w:basedOn w:val="Normal"/>
    <w:uiPriority w:val="34"/>
    <w:qFormat/>
    <w:rsid w:val="0084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Gasenica</dc:creator>
  <cp:keywords/>
  <dc:description/>
  <cp:lastModifiedBy>Kim Gasenica</cp:lastModifiedBy>
  <cp:revision>4</cp:revision>
  <cp:lastPrinted>2017-07-03T19:38:00Z</cp:lastPrinted>
  <dcterms:created xsi:type="dcterms:W3CDTF">2018-06-23T17:59:00Z</dcterms:created>
  <dcterms:modified xsi:type="dcterms:W3CDTF">2018-06-23T20:22:00Z</dcterms:modified>
</cp:coreProperties>
</file>